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  <w:tab/>
        <w:tab/>
        <w:t>ИОТ №156</w:t>
      </w: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Приложение № 58</w:t>
      </w:r>
    </w:p>
    <w:p>
      <w:pPr>
        <w:pStyle w:val="Normal"/>
        <w:spacing w:beforeAutospacing="0" w:before="0" w:afterAutospacing="0" w:after="0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 </w:t>
      </w:r>
      <w:r>
        <w:rPr>
          <w:rFonts w:cs="Times New Roman"/>
          <w:bCs/>
          <w:color w:val="000000"/>
          <w:sz w:val="28"/>
          <w:szCs w:val="28"/>
          <w:lang w:val="ru-RU"/>
        </w:rPr>
        <w:t>2021г. № 1584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                       </w:t>
      </w:r>
    </w:p>
    <w:p>
      <w:pPr>
        <w:pStyle w:val="Normal"/>
        <w:spacing w:beforeAutospacing="0" w:before="0" w:afterAutospacing="0" w:after="0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                        </w:t>
      </w:r>
    </w:p>
    <w:p>
      <w:pPr>
        <w:pStyle w:val="Normal"/>
        <w:spacing w:beforeAutospacing="0" w:before="0" w:afterAutospacing="0" w:after="0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при выполнении работ с легковоспламеняющимися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 горючими жидкостями</w:t>
      </w:r>
    </w:p>
    <w:p>
      <w:pPr>
        <w:pStyle w:val="Normal"/>
        <w:spacing w:beforeAutospacing="0" w:before="0" w:afterAutospacing="0"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1.1. К самостоятельному выполнению работ с ЛВЖ и ГЖ допускаются лица не моложе 18 лет, прошедшие вводный и первичный инструктажи по охране труда, медицинское освидетельствование, обучение, проверку знаний и инструктаж по охране труда на рабочем месте.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 Лица, выполняющие работы с ЛВЖ и ГЖ, обязаны соблюдать Правила трудового распорядка, не допускать употребления алкогольных, наркотических и токсических веществ, курения в неустановленных местах.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1.3. Для работающих с ЛВЖ и ГЖ опасными и вредными  производственными факторами могут быть: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 загазованность воздуха рабочей зоны;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загорание ЛВЖ и ГЖ, возникновение пожара;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загорание одежды во время работы с ЛВЖ и ГЖ;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получение термического ожога.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 К легковоспламеняющимся жидкостям относят горючие жидкости с температурой вспышки в закрытом тигле не выше 61 °С или в открытом тигле не выше 66°С. Нефтепродукты с температурой вспышки выше указанных величин относят к горючим жидкостям. ЛВЖ и ГЖ могут</w:t>
      </w:r>
      <w:r>
        <w:rPr>
          <w:rFonts w:cs="Times New Roman"/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 xml:space="preserve">вызвать острые отравления. Высокая концентрация паров ЛВЖ может привести к потере сознания человеком и даже к смерти. ПДК: бензина автомобильного – 100 мг/куб. м и дизельного топлива – 300 мг/куб. м. 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К ЛВЖ и ГЖ, применяемым на АЗС, относятся ацетон, керосин, масла,</w:t>
      </w:r>
      <w:r>
        <w:rPr>
          <w:rFonts w:cs="Times New Roman"/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растворители, бензин, дизельное топливо.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1.5. ЛВЖ и ГЖ являются пожаро- и взрывоопасными веществами. Пары нефтепродуктов, смешиваясь с воздухом, образуют при определенной концентрации взрывоопасные смеси. Нижний предел взрываемости: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для бензина автомобильного – 6 процентов по объему;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для дизельного топлива – 2–3 процента по объему.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1.6. Работающим при выполнении работ с ЛВЖ и ГЖ спецодежда, спецобувь выдаются по нормам основной профессии.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1.7. Работающим с ЛВЖ и ГЖ необходимо уметь оказывать первую помощь при несчастных случаях.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1.8. Лица, выполняющие работы с ЛВЖ и ГЖ, должны знать и соблюдать правила личной гигиены.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1.9. Ответственность за выполнение требований настоящей инструкции возлагается на лиц, выполняющих работы с ЛВЖ и ГЖ.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1.10. Контроль за выполнением требований данной инструкции возлагается на непосредственного руководителя.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1.11. Лица, виновные в нарушении настоящей инструкции, привлекаются к ответственности в соответствии с Правилами трудового распорядка и действующим законодательством.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Получить задание у руководителя работ, ознакомиться с безопасными способами выполнения работ.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 Проверить исправность спецодежды и средств индивидуальной защиты (должна соответствовать размеру, аккуратно застегнута).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 Проверить исправность и достаточность освещения рабочей зоны.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2.4. Проверить исправность и эффективность работы вытяжной вентиляции. Включить вентиляцию за 10–15 минут до начала работы.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2.5. Проверить исправность инструмента, приспособлений и приборов, необходимых для выполнения работы.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2.6. Проверить исправность и готовность к немедленному использованию средств пожаротушения, противопожарного инвентаря и оборудования.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2.7. Привести в порядок рабочее место, удалить ненужные предметы, рационально разместить необходимые для работы инструменты, приборы, приспособления и т. д.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2.8. Обо всех замеченных неисправностях сообщить непосредственному руководителю (мастеру) и без его указания к работе не приступать.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 Выполнять только ту работу, которая поручена руководителем, и при условии, что безопасные способы ее выполнения известны.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При выполнении работ с ЛВЖ и ГЖ необходимо учитывать их специфические свойства: токсичность, испаряемость, пожароопасность, взрывоопасность, способность электризоваться.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 Необходимо строго соблюдать технологию хранения и выполнения работ с ЛВЖ и ГЖ.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3.4. Обтирочный материал, пропитанный ЛВЖ и ГЖ, необходимо собирать в специально установленные металлические ящики с крышками, загрязненная ветошь ежедневно по окончании работ должна удаляться в специально отведенные места.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3.5. При работе с ЛВЖ и ГЖ не допускается выливать их в канализацию. Отработанные ЛВЖ и ГЖ собирать в специальную хорошо закрывающуюся тару и удалить по окончании смены в специально отведенное место.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3.6. Не допускается использовать ЛВЖ и ГЖ для уборки помещений.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3.7. Пол в помещении, где проводятся работы с применением ЛВЖ и ГЖ, должен быть выполнен из негорючих материалов, не образующих искр при ударе.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3.8. В помещении, где проводятся работы с применением ЛВЖ и ГЖ, не допускается производить работы, связанные с применением открытого огня и искрообразования, а также курение.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3.9. Пролитые на пол ЛВЖ и ГЖ следует немедленно убрать при помощи опилок, песка, смыть водой. Загрязненные опилки, песок сложить в металлический ящик с крышкой, по окончании смены – в специально отведенное место.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3.10. Для производства работ с использованием ЛВЖ и ГЖ должен применяться инструмент, изготовленный из неискрообразующих материалов (алюминия, меди, бронзы).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3.11. Для хранения ЛВЖ и ГЖ в подразделениях оборудуются специальные места (вытяжные шкафы, кладовые, склады), отвечающие требованиям охраны труда и пожарной безопасности. Количество и способы хранения ЛВЖ и ГЖ определяются технологическим</w:t>
      </w:r>
      <w:r>
        <w:rPr>
          <w:rFonts w:cs="Times New Roman"/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регламентом (инструкциями, перечнями и т. п.), согласованным с пожарной службой предприятия.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3.12. На рабочих местах запасы ЛВЖ и ГЖ не должны превышать потребности одной смены.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3.13. Кладовые, шкафы должны быть оборудованы местной вытяжной вентиляцией. На шкафах должна быть четкая надпись с указанием наименования ЛВЖ и ГЖ и общего количества, разрешенного к хранению.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3.14. Тара для хранения, использования на рабочих местах, перевозки ЛВЖ и ГЖ должна быть небьющейся, из материалов, исключающих искрообразование и накопление статического электричества, крышки, исключающие случайный разлив содержимого, на таре должна быть</w:t>
      </w:r>
      <w:r>
        <w:rPr>
          <w:rFonts w:cs="Times New Roman"/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надпись «Огнеопасно» и указано наименование содержимого.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3.15. Переливание ЛВЖ и ГЖ в мелкую тару должно производиться на специальных участках, оборудованных вытяжной вентиляцией.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3.16. Переливание ЛВЖ и ГЖ в складах должно производиться на поддонах из цветных металлов с бортами не менее 50 мм. Инструмент, которым открывают бочки, другую тару, должен быть изготовлен из неискрообразующего материала.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3.17. Вскрытие тары с легковоспламеняющимися и горючими химическими веществами должно производиться инструментом в искробезопасном исполнении.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3.18. Нагрев легковоспламеняющихся и горючих жидкостей допускается на водяных или песчаных банях в зависимости от температуры кипения вещества или специально предназначенных колбонагревателях и стеклокерамических плитах с плавной регулировкой мощности и закрытой системой обогрева.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3.19. Запрещается: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нагревать легковоспламеняющиеся и горючие жидкости на открытом огне, а также на электрических плитах;</w:t>
      </w:r>
    </w:p>
    <w:p>
      <w:pPr>
        <w:pStyle w:val="Normal"/>
        <w:numPr>
          <w:ilvl w:val="0"/>
          <w:numId w:val="1"/>
        </w:numPr>
        <w:spacing w:before="280" w:after="0"/>
        <w:ind w:left="780" w:right="180" w:hanging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вносить пористые, порошкообразные и другие подобные им вещества (активированный уголь, губчатый металл) в нагретые легковоспламеняющиеся и горючие жидкости;</w:t>
      </w:r>
    </w:p>
    <w:p>
      <w:pPr>
        <w:pStyle w:val="Normal"/>
        <w:numPr>
          <w:ilvl w:val="0"/>
          <w:numId w:val="1"/>
        </w:numPr>
        <w:ind w:left="780" w:right="180" w:hanging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оставлять без постоянного присмотра рабочее место, на котором осуществляется нагрев легковоспламеняющихся и горючих жидкостей.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3.20. Песок, пропитавшийся легковоспламеняющимися и горючими жидкостями, следует убирать лопаткой, изготовленной из неискрообразующего огнестойкого материала.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3.21. Запрещается применение для очистки рабочей емкости (посуды) из-под легковоспламеняющихся и горючих жидкостей щеток и скребков, выполненных из искрообразующих при ударе металлов или из синтетических материалов.</w:t>
      </w:r>
      <w:r>
        <w:rPr>
          <w:rFonts w:cs="Times New Roman"/>
          <w:sz w:val="28"/>
          <w:szCs w:val="28"/>
          <w:lang w:val="ru-RU"/>
        </w:rPr>
        <w:br/>
        <w:br/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охраны труда в аварийных ситуациях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 В случае появления опасностей, грозящих аварией или несчастным случаем, работу с ЛВЖ и ГЖ прекратить, поставить в известность непосредственного руководителя. К работе приступить после устранения опасностей с разрешения руководителя.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4.2. В случае пожара в помещениях необходимо отключить общий рубильник электросети, сообщить по телефону в пожарную часть о случившемся и до прибытия пожарной команды немедленно начинать тушить огонь подручными средствами пожаротушения (песок, кошма,</w:t>
      </w:r>
      <w:r>
        <w:rPr>
          <w:rFonts w:cs="Times New Roman"/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огнетушитель).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4.3. При загорании одежды во время работы с ЛВЖ и ГЖ тушить пламя на спецодежде асбестовым одеялом, кошмой из плотной ткани. Не допускается пользоваться при тушении химическими огнетушителями.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4.4. В случае получения термического ожога принять меры по оказанию пострадавшему первой помощи. Сообщить о происшедшем  непосредственному руководителю, обратиться в медицинское учреждение или вызвать скорую помощь.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4.5. При получении травмы пострадавший или свидетель должен сообщить об этом непосредственному руководителю, сохранить до расследования обстановку на рабочем месте и состояние оборудования такими, какими они были в момент происшествия, если это не угрожает</w:t>
      </w:r>
      <w:r>
        <w:rPr>
          <w:rFonts w:cs="Times New Roman"/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жизни и здоровью окружающих работников, не приведет к аварии и не нарушит производственного процесса.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По окончании работы с ЛВЖ и ГЖ необходимо отработанные жидкости собрать в специальную тару.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 Привести в порядок рабочее место, протереть оборудование, пол сухой тряпкой.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5.3. Снять спецодежду и убрать ее в предназначенное для нее место.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5.4. Выполнить гигиенические процедуры.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5.5. Доложить руководителю работ обо всех недостатках, замеченных в процессе работы, и о завершении работы.</w:t>
      </w:r>
    </w:p>
    <w:p>
      <w:pPr>
        <w:pStyle w:val="Normal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1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spacing w:before="280" w:after="28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bidi w:val="0"/>
      <w:spacing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istLabel1">
    <w:name w:val="ListLabel 1"/>
    <w:qFormat/>
    <w:rPr>
      <w:rFonts w:ascii="Times New Roman" w:hAnsi="Times New Roman"/>
      <w:sz w:val="28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ascii="Times New Roman" w:hAnsi="Times New Roman" w:cs="Symbol"/>
      <w:sz w:val="28"/>
    </w:rPr>
  </w:style>
  <w:style w:type="character" w:styleId="ListLabel11">
    <w:name w:val="ListLabel 11"/>
    <w:qFormat/>
    <w:rPr>
      <w:rFonts w:cs="Courier New"/>
      <w:sz w:val="20"/>
    </w:rPr>
  </w:style>
  <w:style w:type="character" w:styleId="ListLabel12">
    <w:name w:val="ListLabel 12"/>
    <w:qFormat/>
    <w:rPr>
      <w:rFonts w:cs="Wingdings"/>
      <w:sz w:val="20"/>
    </w:rPr>
  </w:style>
  <w:style w:type="character" w:styleId="ListLabel13">
    <w:name w:val="ListLabel 13"/>
    <w:qFormat/>
    <w:rPr>
      <w:rFonts w:cs="Wingdings"/>
      <w:sz w:val="20"/>
    </w:rPr>
  </w:style>
  <w:style w:type="character" w:styleId="ListLabel14">
    <w:name w:val="ListLabel 14"/>
    <w:qFormat/>
    <w:rPr>
      <w:rFonts w:cs="Wingdings"/>
      <w:sz w:val="20"/>
    </w:rPr>
  </w:style>
  <w:style w:type="character" w:styleId="ListLabel15">
    <w:name w:val="ListLabel 15"/>
    <w:qFormat/>
    <w:rPr>
      <w:rFonts w:cs="Wingdings"/>
      <w:sz w:val="20"/>
    </w:rPr>
  </w:style>
  <w:style w:type="character" w:styleId="ListLabel16">
    <w:name w:val="ListLabel 16"/>
    <w:qFormat/>
    <w:rPr>
      <w:rFonts w:cs="Wingdings"/>
      <w:sz w:val="20"/>
    </w:rPr>
  </w:style>
  <w:style w:type="character" w:styleId="ListLabel17">
    <w:name w:val="ListLabel 17"/>
    <w:qFormat/>
    <w:rPr>
      <w:rFonts w:cs="Wingdings"/>
      <w:sz w:val="20"/>
    </w:rPr>
  </w:style>
  <w:style w:type="character" w:styleId="ListLabel18">
    <w:name w:val="ListLabel 18"/>
    <w:qFormat/>
    <w:rPr>
      <w:rFonts w:cs="Wingdings"/>
      <w:sz w:val="20"/>
    </w:rPr>
  </w:style>
  <w:style w:type="character" w:styleId="ListLabel19">
    <w:name w:val="ListLabel 19"/>
    <w:qFormat/>
    <w:rPr>
      <w:rFonts w:ascii="Times New Roman" w:hAnsi="Times New Roman" w:cs="Symbol"/>
      <w:sz w:val="28"/>
    </w:rPr>
  </w:style>
  <w:style w:type="character" w:styleId="ListLabel20">
    <w:name w:val="ListLabel 20"/>
    <w:qFormat/>
    <w:rPr>
      <w:rFonts w:cs="Courier New"/>
      <w:sz w:val="20"/>
    </w:rPr>
  </w:style>
  <w:style w:type="character" w:styleId="ListLabel21">
    <w:name w:val="ListLabel 21"/>
    <w:qFormat/>
    <w:rPr>
      <w:rFonts w:cs="Wingdings"/>
      <w:sz w:val="20"/>
    </w:rPr>
  </w:style>
  <w:style w:type="character" w:styleId="ListLabel22">
    <w:name w:val="ListLabel 22"/>
    <w:qFormat/>
    <w:rPr>
      <w:rFonts w:cs="Wingdings"/>
      <w:sz w:val="20"/>
    </w:rPr>
  </w:style>
  <w:style w:type="character" w:styleId="ListLabel23">
    <w:name w:val="ListLabel 23"/>
    <w:qFormat/>
    <w:rPr>
      <w:rFonts w:cs="Wingdings"/>
      <w:sz w:val="20"/>
    </w:rPr>
  </w:style>
  <w:style w:type="character" w:styleId="ListLabel24">
    <w:name w:val="ListLabel 24"/>
    <w:qFormat/>
    <w:rPr>
      <w:rFonts w:cs="Wingdings"/>
      <w:sz w:val="20"/>
    </w:rPr>
  </w:style>
  <w:style w:type="character" w:styleId="ListLabel25">
    <w:name w:val="ListLabel 25"/>
    <w:qFormat/>
    <w:rPr>
      <w:rFonts w:cs="Wingdings"/>
      <w:sz w:val="20"/>
    </w:rPr>
  </w:style>
  <w:style w:type="character" w:styleId="ListLabel26">
    <w:name w:val="ListLabel 26"/>
    <w:qFormat/>
    <w:rPr>
      <w:rFonts w:cs="Wingdings"/>
      <w:sz w:val="20"/>
    </w:rPr>
  </w:style>
  <w:style w:type="character" w:styleId="ListLabel27">
    <w:name w:val="ListLabel 27"/>
    <w:qFormat/>
    <w:rPr>
      <w:rFonts w:cs="Wingdings"/>
      <w:sz w:val="20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81402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LibreOffice/5.4.7.2$Windows_x86 LibreOffice_project/c838ef25c16710f8838b1faec480ebba495259d0</Application>
  <Pages>7</Pages>
  <Words>1262</Words>
  <Characters>8282</Characters>
  <CharactersWithSpaces>9817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2021-08-19T05:51:00Z</dcterms:created>
  <dc:creator>zam_po_bez</dc:creator>
  <dc:description>Подготовлено экспертами Актион-МЦФЭР</dc:description>
  <dc:language>ru-RU</dc:language>
  <cp:lastModifiedBy/>
  <cp:lastPrinted>2022-03-24T09:33:08Z</cp:lastPrinted>
  <dcterms:modified xsi:type="dcterms:W3CDTF">2022-03-24T09:37:41Z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